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136307"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ТЕРСИНСКОГО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E55D7A" w:rsidP="00611C60">
      <w:pPr>
        <w:spacing w:after="0" w:line="240" w:lineRule="auto"/>
        <w:jc w:val="both"/>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От </w:t>
      </w:r>
      <w:r w:rsidR="00136307">
        <w:rPr>
          <w:rFonts w:ascii="Times New Roman" w:hAnsi="Times New Roman"/>
          <w:b/>
          <w:color w:val="000000" w:themeColor="text1"/>
          <w:sz w:val="26"/>
          <w:szCs w:val="26"/>
        </w:rPr>
        <w:t>26.06.</w:t>
      </w:r>
      <w:r w:rsidRPr="00611C60">
        <w:rPr>
          <w:rFonts w:ascii="Times New Roman" w:hAnsi="Times New Roman"/>
          <w:b/>
          <w:color w:val="000000" w:themeColor="text1"/>
          <w:sz w:val="26"/>
          <w:szCs w:val="26"/>
        </w:rPr>
        <w:t>202</w:t>
      </w:r>
      <w:r w:rsidR="00611C60" w:rsidRPr="00611C60">
        <w:rPr>
          <w:rFonts w:ascii="Times New Roman" w:hAnsi="Times New Roman"/>
          <w:b/>
          <w:color w:val="000000" w:themeColor="text1"/>
          <w:sz w:val="26"/>
          <w:szCs w:val="26"/>
        </w:rPr>
        <w:t>5 года  №</w:t>
      </w:r>
      <w:r w:rsidR="00136307">
        <w:rPr>
          <w:rFonts w:ascii="Times New Roman" w:hAnsi="Times New Roman"/>
          <w:b/>
          <w:color w:val="000000" w:themeColor="text1"/>
          <w:sz w:val="26"/>
          <w:szCs w:val="26"/>
        </w:rPr>
        <w:t>5/45-184</w:t>
      </w:r>
      <w:r w:rsidRPr="00611C60">
        <w:rPr>
          <w:rFonts w:ascii="Times New Roman" w:hAnsi="Times New Roman"/>
          <w:b/>
          <w:bCs/>
          <w:color w:val="000000" w:themeColor="text1"/>
          <w:sz w:val="26"/>
          <w:szCs w:val="26"/>
        </w:rPr>
        <w:t xml:space="preserve">                                             с.</w:t>
      </w:r>
      <w:r w:rsidR="00136307">
        <w:rPr>
          <w:rFonts w:ascii="Times New Roman" w:hAnsi="Times New Roman"/>
          <w:b/>
          <w:bCs/>
          <w:color w:val="000000" w:themeColor="text1"/>
          <w:sz w:val="26"/>
          <w:szCs w:val="26"/>
        </w:rPr>
        <w:t>Терса</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611C60">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136307">
              <w:rPr>
                <w:rFonts w:ascii="Times New Roman" w:hAnsi="Times New Roman"/>
                <w:color w:val="000000" w:themeColor="text1"/>
                <w:sz w:val="26"/>
                <w:szCs w:val="26"/>
              </w:rPr>
              <w:t>Терсинском</w:t>
            </w:r>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136307">
        <w:rPr>
          <w:rFonts w:ascii="Times New Roman" w:hAnsi="Times New Roman"/>
          <w:color w:val="000000" w:themeColor="text1"/>
          <w:sz w:val="26"/>
          <w:szCs w:val="26"/>
        </w:rPr>
        <w:t>Терсинском</w:t>
      </w:r>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136307">
        <w:rPr>
          <w:rFonts w:ascii="Times New Roman" w:hAnsi="Times New Roman"/>
          <w:bCs/>
          <w:color w:val="000000" w:themeColor="text1"/>
          <w:sz w:val="26"/>
          <w:szCs w:val="26"/>
        </w:rPr>
        <w:t>Терсинского</w:t>
      </w:r>
      <w:r w:rsidRPr="00611C60">
        <w:rPr>
          <w:rFonts w:ascii="Times New Roman" w:hAnsi="Times New Roman"/>
          <w:bCs/>
          <w:color w:val="000000" w:themeColor="text1"/>
          <w:sz w:val="26"/>
          <w:szCs w:val="26"/>
        </w:rPr>
        <w:t xml:space="preserve"> муниципального образования от 27 декабря 2019 года №4/4</w:t>
      </w:r>
      <w:r w:rsidR="00136307">
        <w:rPr>
          <w:rFonts w:ascii="Times New Roman" w:hAnsi="Times New Roman"/>
          <w:bCs/>
          <w:color w:val="000000" w:themeColor="text1"/>
          <w:sz w:val="26"/>
          <w:szCs w:val="26"/>
        </w:rPr>
        <w:t>9</w:t>
      </w:r>
      <w:r w:rsidRPr="00611C60">
        <w:rPr>
          <w:rFonts w:ascii="Times New Roman" w:hAnsi="Times New Roman"/>
          <w:bCs/>
          <w:color w:val="000000" w:themeColor="text1"/>
          <w:sz w:val="26"/>
          <w:szCs w:val="26"/>
        </w:rPr>
        <w:t>-1</w:t>
      </w:r>
      <w:r w:rsidR="00136307">
        <w:rPr>
          <w:rFonts w:ascii="Times New Roman" w:hAnsi="Times New Roman"/>
          <w:bCs/>
          <w:color w:val="000000" w:themeColor="text1"/>
          <w:sz w:val="26"/>
          <w:szCs w:val="26"/>
        </w:rPr>
        <w:t>72</w:t>
      </w:r>
      <w:r w:rsidR="00BB6EEE">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(в редакции от</w:t>
      </w:r>
      <w:r w:rsidR="00BB6EEE">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09 ноября 2021 года №5/2-12,</w:t>
      </w:r>
      <w:r w:rsidR="00BB6EEE">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№5/1</w:t>
      </w:r>
      <w:r w:rsidR="00136307">
        <w:rPr>
          <w:rFonts w:ascii="Times New Roman" w:hAnsi="Times New Roman"/>
          <w:color w:val="000000" w:themeColor="text1"/>
          <w:sz w:val="26"/>
          <w:szCs w:val="26"/>
        </w:rPr>
        <w:t>8</w:t>
      </w:r>
      <w:r w:rsidRPr="00611C60">
        <w:rPr>
          <w:rFonts w:ascii="Times New Roman" w:hAnsi="Times New Roman"/>
          <w:color w:val="000000" w:themeColor="text1"/>
          <w:sz w:val="26"/>
          <w:szCs w:val="26"/>
        </w:rPr>
        <w:t>-</w:t>
      </w:r>
      <w:r w:rsidR="00136307">
        <w:rPr>
          <w:rFonts w:ascii="Times New Roman" w:hAnsi="Times New Roman"/>
          <w:color w:val="000000" w:themeColor="text1"/>
          <w:sz w:val="26"/>
          <w:szCs w:val="26"/>
        </w:rPr>
        <w:t>94</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136307">
        <w:rPr>
          <w:rFonts w:ascii="Times New Roman" w:eastAsia="Times New Roman" w:hAnsi="Times New Roman"/>
          <w:b/>
          <w:bCs/>
          <w:color w:val="000000" w:themeColor="text1"/>
          <w:sz w:val="26"/>
          <w:szCs w:val="26"/>
          <w:lang w:eastAsia="ru-RU"/>
        </w:rPr>
        <w:t>Терсинского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136307">
        <w:rPr>
          <w:rFonts w:eastAsia="Times New Roman"/>
          <w:bCs/>
          <w:color w:val="000000" w:themeColor="text1"/>
          <w:sz w:val="26"/>
          <w:szCs w:val="26"/>
          <w:lang w:eastAsia="ru-RU"/>
        </w:rPr>
        <w:t>Терсинского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136307">
        <w:rPr>
          <w:rFonts w:eastAsia="Times New Roman"/>
          <w:bCs/>
          <w:color w:val="000000" w:themeColor="text1"/>
          <w:sz w:val="26"/>
          <w:szCs w:val="26"/>
          <w:lang w:eastAsia="ru-RU"/>
        </w:rPr>
        <w:t>Терсинского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136307">
        <w:rPr>
          <w:rFonts w:eastAsia="Times New Roman"/>
          <w:bCs/>
          <w:color w:val="000000" w:themeColor="text1"/>
          <w:sz w:val="26"/>
          <w:szCs w:val="26"/>
          <w:lang w:eastAsia="ru-RU"/>
        </w:rPr>
        <w:t>Терсинского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136307">
        <w:rPr>
          <w:rFonts w:eastAsia="Times New Roman"/>
          <w:bCs/>
          <w:color w:val="000000" w:themeColor="text1"/>
          <w:sz w:val="26"/>
          <w:szCs w:val="26"/>
          <w:lang w:eastAsia="ru-RU"/>
        </w:rPr>
        <w:t>Терсинского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136307">
        <w:rPr>
          <w:rFonts w:eastAsia="Times New Roman"/>
          <w:bCs/>
          <w:color w:val="000000" w:themeColor="text1"/>
          <w:sz w:val="26"/>
          <w:szCs w:val="26"/>
          <w:lang w:eastAsia="ru-RU"/>
        </w:rPr>
        <w:t>Терсинского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136307">
        <w:rPr>
          <w:bCs/>
          <w:color w:val="000000" w:themeColor="text1"/>
          <w:sz w:val="26"/>
          <w:szCs w:val="26"/>
        </w:rPr>
        <w:t>Терсинского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136307">
        <w:rPr>
          <w:bCs/>
          <w:color w:val="000000" w:themeColor="text1"/>
          <w:sz w:val="26"/>
          <w:szCs w:val="26"/>
        </w:rPr>
        <w:t>Терсинского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136307">
        <w:rPr>
          <w:color w:val="000000" w:themeColor="text1"/>
          <w:sz w:val="26"/>
          <w:szCs w:val="26"/>
        </w:rPr>
        <w:t>Терсинского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136307">
        <w:rPr>
          <w:color w:val="000000" w:themeColor="text1"/>
          <w:sz w:val="26"/>
          <w:szCs w:val="26"/>
        </w:rPr>
        <w:t>Терсинского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136307">
        <w:rPr>
          <w:rFonts w:ascii="Times New Roman" w:eastAsia="Times New Roman" w:hAnsi="Times New Roman"/>
          <w:bCs/>
          <w:color w:val="000000" w:themeColor="text1"/>
          <w:sz w:val="26"/>
          <w:szCs w:val="26"/>
          <w:lang w:eastAsia="ru-RU"/>
        </w:rPr>
        <w:t>Терсинского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93486C" w:rsidRDefault="0093486C"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93486C" w:rsidRDefault="0093486C"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93486C" w:rsidRDefault="0093486C"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w:t>
      </w:r>
      <w:r w:rsidR="007B3E3C" w:rsidRPr="00611C60">
        <w:rPr>
          <w:rFonts w:ascii="Times New Roman" w:hAnsi="Times New Roman"/>
          <w:b/>
          <w:color w:val="000000" w:themeColor="text1"/>
          <w:sz w:val="26"/>
          <w:szCs w:val="26"/>
        </w:rPr>
        <w:t>Совет Терсинского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136307">
        <w:rPr>
          <w:rFonts w:ascii="Times New Roman" w:hAnsi="Times New Roman"/>
          <w:b/>
          <w:color w:val="000000" w:themeColor="text1"/>
          <w:sz w:val="26"/>
          <w:szCs w:val="26"/>
        </w:rPr>
        <w:t>Терсинского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рассмотрение </w:t>
      </w:r>
      <w:r w:rsidR="007B3E3C" w:rsidRPr="00611C60">
        <w:rPr>
          <w:rFonts w:ascii="Times New Roman" w:hAnsi="Times New Roman"/>
          <w:color w:val="000000" w:themeColor="text1"/>
          <w:sz w:val="26"/>
          <w:szCs w:val="26"/>
        </w:rPr>
        <w:t>Совета Терсинского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администрация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вносит в Совет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w:t>
      </w:r>
      <w:r w:rsidRPr="00611C60">
        <w:rPr>
          <w:rFonts w:ascii="Times New Roman" w:hAnsi="Times New Roman"/>
          <w:color w:val="000000" w:themeColor="text1"/>
          <w:sz w:val="26"/>
          <w:szCs w:val="26"/>
        </w:rPr>
        <w:lastRenderedPageBreak/>
        <w:t>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администрацией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Глава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администрацией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о бюджете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611C60">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Здание администрации с.Терса ул. Советская д.1;</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Терсинская участковая больница - с.Терса ул.Советская д.62А (по согласованию);</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Здание диспетчерской СКХ "Коммунар" - с.Терса ул.Водопьянова д.32/1 (по согласованию);</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Магазин ИП Лотыш - с.Терса ул.Чапаева д.27 (по согласованию);</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Магазин ИП Шубинов - с.Терса ул.Строителей д.4А (по согласованию);</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Магазин ИП Дружина - с.Терса ул.Коммунистическая д.75А (по согласованию);</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Магазин ИП Коткова - с.Терса ул.Красный Октябрь д.3 (по согласованию);</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Доска объявлений напротив  д.3 ул.Железнодорожная ж/д ст.Терса;</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Магазин  ИП Андреева -с.Тепловка ул. Талалихина д.142(по согласованию);</w:t>
      </w:r>
    </w:p>
    <w:p w:rsidR="00762D72" w:rsidRPr="006B646F" w:rsidRDefault="00762D72" w:rsidP="00762D72">
      <w:pPr>
        <w:spacing w:after="0" w:line="240" w:lineRule="auto"/>
        <w:ind w:firstLine="540"/>
        <w:jc w:val="both"/>
        <w:rPr>
          <w:rFonts w:ascii="Times New Roman" w:hAnsi="Times New Roman"/>
          <w:color w:val="000000"/>
          <w:sz w:val="26"/>
          <w:szCs w:val="26"/>
        </w:rPr>
      </w:pPr>
      <w:r w:rsidRPr="006B646F">
        <w:rPr>
          <w:rFonts w:ascii="Times New Roman" w:hAnsi="Times New Roman"/>
          <w:color w:val="000000"/>
          <w:sz w:val="26"/>
          <w:szCs w:val="26"/>
        </w:rPr>
        <w:t>- Магазин ИП Кравченко - с.Девичьи Горки ул.Колхозная д.14 (по согласованию);</w:t>
      </w:r>
    </w:p>
    <w:p w:rsidR="00762D72" w:rsidRPr="006B646F" w:rsidRDefault="00762D72" w:rsidP="00762D72">
      <w:pPr>
        <w:spacing w:after="0" w:line="240" w:lineRule="auto"/>
        <w:ind w:firstLine="540"/>
        <w:jc w:val="both"/>
        <w:rPr>
          <w:color w:val="000000"/>
          <w:sz w:val="26"/>
          <w:szCs w:val="26"/>
        </w:rPr>
      </w:pPr>
      <w:r w:rsidRPr="006B646F">
        <w:rPr>
          <w:rFonts w:ascii="Times New Roman" w:hAnsi="Times New Roman"/>
          <w:color w:val="000000"/>
          <w:sz w:val="26"/>
          <w:szCs w:val="26"/>
        </w:rPr>
        <w:t>-  Доска объявлений у здания администрации ЗАО "Санаторий Светлана" п.Тополевый ул.Санаторная д.5 (по согласованию).</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762D72">
        <w:rPr>
          <w:rFonts w:ascii="Times New Roman" w:eastAsia="Arial" w:hAnsi="Times New Roman"/>
          <w:color w:val="000000" w:themeColor="text1"/>
          <w:sz w:val="26"/>
          <w:szCs w:val="26"/>
          <w:lang w:eastAsia="ar-SA"/>
        </w:rPr>
        <w:t>27.06.</w:t>
      </w:r>
      <w:r w:rsidRPr="00611C60">
        <w:rPr>
          <w:rFonts w:ascii="Times New Roman" w:eastAsia="Arial" w:hAnsi="Times New Roman"/>
          <w:color w:val="000000" w:themeColor="text1"/>
          <w:sz w:val="26"/>
          <w:szCs w:val="26"/>
          <w:lang w:eastAsia="ar-SA"/>
        </w:rPr>
        <w:t xml:space="preserve">2025 г. по </w:t>
      </w:r>
      <w:r w:rsidR="00762D72">
        <w:rPr>
          <w:rFonts w:ascii="Times New Roman" w:eastAsia="Arial" w:hAnsi="Times New Roman"/>
          <w:color w:val="000000" w:themeColor="text1"/>
          <w:sz w:val="26"/>
          <w:szCs w:val="26"/>
          <w:lang w:eastAsia="ar-SA"/>
        </w:rPr>
        <w:t>26.07.</w:t>
      </w:r>
      <w:r w:rsidRPr="00611C60">
        <w:rPr>
          <w:rFonts w:ascii="Times New Roman" w:eastAsia="Arial" w:hAnsi="Times New Roman"/>
          <w:color w:val="000000" w:themeColor="text1"/>
          <w:sz w:val="26"/>
          <w:szCs w:val="26"/>
          <w:lang w:eastAsia="ar-SA"/>
        </w:rPr>
        <w:t xml:space="preserve">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4. Датой обнародования считать </w:t>
      </w:r>
      <w:r w:rsidR="00762D72">
        <w:rPr>
          <w:rFonts w:ascii="Times New Roman" w:eastAsia="Arial" w:hAnsi="Times New Roman"/>
          <w:color w:val="000000" w:themeColor="text1"/>
          <w:sz w:val="26"/>
          <w:szCs w:val="26"/>
          <w:lang w:eastAsia="ar-SA"/>
        </w:rPr>
        <w:t>27.06.</w:t>
      </w:r>
      <w:r w:rsidRPr="00611C60">
        <w:rPr>
          <w:rFonts w:ascii="Times New Roman" w:eastAsia="Arial" w:hAnsi="Times New Roman"/>
          <w:color w:val="000000" w:themeColor="text1"/>
          <w:sz w:val="26"/>
          <w:szCs w:val="26"/>
          <w:lang w:eastAsia="ar-SA"/>
        </w:rPr>
        <w:t xml:space="preserve">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136307">
        <w:rPr>
          <w:rFonts w:ascii="Times New Roman" w:eastAsia="Arial" w:hAnsi="Times New Roman"/>
          <w:color w:val="000000" w:themeColor="text1"/>
          <w:sz w:val="26"/>
          <w:szCs w:val="26"/>
          <w:lang w:eastAsia="ar-SA"/>
        </w:rPr>
        <w:t>Терсинского</w:t>
      </w:r>
      <w:r w:rsidRPr="00611C60">
        <w:rPr>
          <w:rFonts w:ascii="Times New Roman" w:eastAsia="Arial" w:hAnsi="Times New Roman"/>
          <w:color w:val="000000" w:themeColor="text1"/>
          <w:sz w:val="26"/>
          <w:szCs w:val="26"/>
          <w:lang w:eastAsia="ar-SA"/>
        </w:rPr>
        <w:t xml:space="preserve">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с. </w:t>
      </w:r>
      <w:r w:rsidR="00762D72">
        <w:rPr>
          <w:rFonts w:ascii="Times New Roman" w:hAnsi="Times New Roman"/>
          <w:color w:val="000000" w:themeColor="text1"/>
          <w:sz w:val="26"/>
          <w:szCs w:val="26"/>
        </w:rPr>
        <w:t>Терса</w:t>
      </w:r>
      <w:r w:rsidRPr="00611C60">
        <w:rPr>
          <w:rFonts w:ascii="Times New Roman" w:hAnsi="Times New Roman"/>
          <w:color w:val="000000" w:themeColor="text1"/>
          <w:sz w:val="26"/>
          <w:szCs w:val="26"/>
        </w:rPr>
        <w:t xml:space="preserve">, </w:t>
      </w:r>
      <w:r w:rsidR="00762D72">
        <w:rPr>
          <w:rFonts w:ascii="Times New Roman" w:hAnsi="Times New Roman"/>
          <w:color w:val="000000" w:themeColor="text1"/>
          <w:sz w:val="26"/>
          <w:szCs w:val="26"/>
        </w:rPr>
        <w:t>ул.Советская</w:t>
      </w:r>
      <w:r w:rsidRPr="00611C60">
        <w:rPr>
          <w:rFonts w:ascii="Times New Roman" w:hAnsi="Times New Roman"/>
          <w:color w:val="000000" w:themeColor="text1"/>
          <w:sz w:val="26"/>
          <w:szCs w:val="26"/>
        </w:rPr>
        <w:t xml:space="preserve">, </w:t>
      </w:r>
      <w:r w:rsidR="00762D72">
        <w:rPr>
          <w:rFonts w:ascii="Times New Roman" w:hAnsi="Times New Roman"/>
          <w:color w:val="000000" w:themeColor="text1"/>
          <w:sz w:val="26"/>
          <w:szCs w:val="26"/>
        </w:rPr>
        <w:t>1</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w:t>
      </w:r>
      <w:r w:rsidR="00136307">
        <w:rPr>
          <w:rFonts w:ascii="Times New Roman" w:hAnsi="Times New Roman"/>
          <w:color w:val="000000" w:themeColor="text1"/>
          <w:sz w:val="26"/>
          <w:szCs w:val="26"/>
        </w:rPr>
        <w:t>Терсинского</w:t>
      </w:r>
      <w:r w:rsidRPr="00611C60">
        <w:rPr>
          <w:rFonts w:ascii="Times New Roman" w:hAnsi="Times New Roman"/>
          <w:color w:val="000000" w:themeColor="text1"/>
          <w:sz w:val="26"/>
          <w:szCs w:val="26"/>
        </w:rPr>
        <w:t xml:space="preserve"> муниципального образования в информационно-телекоммуникационной сети «Интернет» </w:t>
      </w:r>
      <w:hyperlink r:id="rId10" w:tgtFrame="_blank" w:history="1">
        <w:r w:rsidRPr="00611C60">
          <w:rPr>
            <w:rFonts w:ascii="Times New Roman" w:hAnsi="Times New Roman"/>
            <w:bCs/>
            <w:color w:val="000000" w:themeColor="text1"/>
            <w:sz w:val="26"/>
            <w:szCs w:val="26"/>
          </w:rPr>
          <w:t>https://</w:t>
        </w:r>
        <w:r w:rsidR="00762D72">
          <w:rPr>
            <w:rFonts w:ascii="Times New Roman" w:hAnsi="Times New Roman"/>
            <w:bCs/>
            <w:color w:val="000000" w:themeColor="text1"/>
            <w:sz w:val="26"/>
            <w:szCs w:val="26"/>
            <w:lang w:val="en-US"/>
          </w:rPr>
          <w:t>tersin</w:t>
        </w:r>
        <w:r w:rsidRPr="00611C60">
          <w:rPr>
            <w:rFonts w:ascii="Times New Roman" w:hAnsi="Times New Roman"/>
            <w:bCs/>
            <w:color w:val="000000" w:themeColor="text1"/>
            <w:sz w:val="26"/>
            <w:szCs w:val="26"/>
          </w:rPr>
          <w:t>skoe-r64.gosweb.gosuslugi.ru</w:t>
        </w:r>
      </w:hyperlink>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lastRenderedPageBreak/>
        <w:t xml:space="preserve">9. Контроль за исполнением настоящего решения возложить на Главу </w:t>
      </w:r>
      <w:r w:rsidR="00136307">
        <w:rPr>
          <w:rFonts w:ascii="Times New Roman" w:eastAsia="Arial" w:hAnsi="Times New Roman"/>
          <w:color w:val="000000" w:themeColor="text1"/>
          <w:sz w:val="26"/>
          <w:szCs w:val="26"/>
          <w:lang w:eastAsia="ar-SA"/>
        </w:rPr>
        <w:t>Терсинского</w:t>
      </w:r>
      <w:r w:rsidRPr="00611C60">
        <w:rPr>
          <w:rFonts w:ascii="Times New Roman" w:eastAsia="Arial" w:hAnsi="Times New Roman"/>
          <w:color w:val="000000" w:themeColor="text1"/>
          <w:sz w:val="26"/>
          <w:szCs w:val="26"/>
          <w:lang w:eastAsia="ar-SA"/>
        </w:rPr>
        <w:t xml:space="preserve">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136307">
        <w:rPr>
          <w:rFonts w:ascii="Times New Roman" w:eastAsia="Times New Roman" w:hAnsi="Times New Roman"/>
          <w:b/>
          <w:bCs/>
          <w:color w:val="000000" w:themeColor="text1"/>
          <w:sz w:val="26"/>
          <w:szCs w:val="26"/>
          <w:lang w:eastAsia="ru-RU"/>
        </w:rPr>
        <w:t>Терсинского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762D72">
        <w:rPr>
          <w:rFonts w:ascii="Times New Roman" w:eastAsia="Times New Roman" w:hAnsi="Times New Roman"/>
          <w:b/>
          <w:bCs/>
          <w:color w:val="000000" w:themeColor="text1"/>
          <w:sz w:val="26"/>
          <w:szCs w:val="26"/>
          <w:lang w:eastAsia="ru-RU"/>
        </w:rPr>
        <w:t>Е.В.Молдаванов</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11552F">
      <w:footerReference w:type="default" r:id="rId11"/>
      <w:pgSz w:w="11906" w:h="16838"/>
      <w:pgMar w:top="1077" w:right="851" w:bottom="1077"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8C" w:rsidRDefault="00C9558C" w:rsidP="00615CAE">
      <w:pPr>
        <w:spacing w:after="0" w:line="240" w:lineRule="auto"/>
      </w:pPr>
      <w:r>
        <w:separator/>
      </w:r>
    </w:p>
  </w:endnote>
  <w:endnote w:type="continuationSeparator" w:id="1">
    <w:p w:rsidR="00C9558C" w:rsidRDefault="00C9558C"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4502CF">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93486C">
          <w:rPr>
            <w:rFonts w:ascii="Times New Roman" w:hAnsi="Times New Roman"/>
            <w:noProof/>
          </w:rPr>
          <w:t>3</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8C" w:rsidRDefault="00C9558C" w:rsidP="00615CAE">
      <w:pPr>
        <w:spacing w:after="0" w:line="240" w:lineRule="auto"/>
      </w:pPr>
      <w:r>
        <w:separator/>
      </w:r>
    </w:p>
  </w:footnote>
  <w:footnote w:type="continuationSeparator" w:id="1">
    <w:p w:rsidR="00C9558C" w:rsidRDefault="00C9558C"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2792E"/>
    <w:rsid w:val="0007541F"/>
    <w:rsid w:val="0007603B"/>
    <w:rsid w:val="000A7EA1"/>
    <w:rsid w:val="000B7B05"/>
    <w:rsid w:val="000B7CED"/>
    <w:rsid w:val="000C5E0E"/>
    <w:rsid w:val="000D0D7F"/>
    <w:rsid w:val="000E5B60"/>
    <w:rsid w:val="00107D9D"/>
    <w:rsid w:val="0011552F"/>
    <w:rsid w:val="00122CF1"/>
    <w:rsid w:val="00132D18"/>
    <w:rsid w:val="00134F5B"/>
    <w:rsid w:val="00136307"/>
    <w:rsid w:val="0016137E"/>
    <w:rsid w:val="00165353"/>
    <w:rsid w:val="0017428A"/>
    <w:rsid w:val="001810E0"/>
    <w:rsid w:val="001914D1"/>
    <w:rsid w:val="0019382B"/>
    <w:rsid w:val="001A2B2A"/>
    <w:rsid w:val="001A4E0E"/>
    <w:rsid w:val="001B78DA"/>
    <w:rsid w:val="001C08FB"/>
    <w:rsid w:val="001E5628"/>
    <w:rsid w:val="001E6580"/>
    <w:rsid w:val="001E713A"/>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E2CDD"/>
    <w:rsid w:val="002F0D8A"/>
    <w:rsid w:val="00301D8C"/>
    <w:rsid w:val="00311060"/>
    <w:rsid w:val="00313798"/>
    <w:rsid w:val="00323032"/>
    <w:rsid w:val="003312A2"/>
    <w:rsid w:val="00335248"/>
    <w:rsid w:val="00335809"/>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502CF"/>
    <w:rsid w:val="00462C5F"/>
    <w:rsid w:val="0048138E"/>
    <w:rsid w:val="004A02F8"/>
    <w:rsid w:val="004A1F71"/>
    <w:rsid w:val="004B0A2D"/>
    <w:rsid w:val="004C4ADA"/>
    <w:rsid w:val="004D6125"/>
    <w:rsid w:val="004E4A5E"/>
    <w:rsid w:val="005031D0"/>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41C07"/>
    <w:rsid w:val="006A4DDC"/>
    <w:rsid w:val="006A6014"/>
    <w:rsid w:val="006A6B4D"/>
    <w:rsid w:val="006D6989"/>
    <w:rsid w:val="006F68FA"/>
    <w:rsid w:val="007064BE"/>
    <w:rsid w:val="00735AF2"/>
    <w:rsid w:val="007568D8"/>
    <w:rsid w:val="00762D72"/>
    <w:rsid w:val="00764504"/>
    <w:rsid w:val="00784EBD"/>
    <w:rsid w:val="0079158C"/>
    <w:rsid w:val="007975F5"/>
    <w:rsid w:val="007B3E3C"/>
    <w:rsid w:val="007D25F4"/>
    <w:rsid w:val="007E5F96"/>
    <w:rsid w:val="007F6D35"/>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9163F8"/>
    <w:rsid w:val="00916E1E"/>
    <w:rsid w:val="00925F5F"/>
    <w:rsid w:val="0093486C"/>
    <w:rsid w:val="00943770"/>
    <w:rsid w:val="00944D93"/>
    <w:rsid w:val="009471CF"/>
    <w:rsid w:val="0095163B"/>
    <w:rsid w:val="009547EC"/>
    <w:rsid w:val="00965A0E"/>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521E"/>
    <w:rsid w:val="00A97190"/>
    <w:rsid w:val="00AA0632"/>
    <w:rsid w:val="00AA76B1"/>
    <w:rsid w:val="00AB4749"/>
    <w:rsid w:val="00AC7F5A"/>
    <w:rsid w:val="00AD5779"/>
    <w:rsid w:val="00AE4CF5"/>
    <w:rsid w:val="00B04957"/>
    <w:rsid w:val="00B06A48"/>
    <w:rsid w:val="00B20F0B"/>
    <w:rsid w:val="00B224BB"/>
    <w:rsid w:val="00B37A57"/>
    <w:rsid w:val="00B402B6"/>
    <w:rsid w:val="00B63EFC"/>
    <w:rsid w:val="00BA5391"/>
    <w:rsid w:val="00BB6EEE"/>
    <w:rsid w:val="00BD5770"/>
    <w:rsid w:val="00C022CE"/>
    <w:rsid w:val="00C075AD"/>
    <w:rsid w:val="00C360BE"/>
    <w:rsid w:val="00C40A21"/>
    <w:rsid w:val="00C613A8"/>
    <w:rsid w:val="00C769DC"/>
    <w:rsid w:val="00C82C96"/>
    <w:rsid w:val="00C90C47"/>
    <w:rsid w:val="00C93706"/>
    <w:rsid w:val="00C9558C"/>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basedOn w:val="a0"/>
    <w:rsid w:val="003B4105"/>
  </w:style>
  <w:style w:type="character" w:customStyle="1" w:styleId="UnresolvedMention">
    <w:name w:val="Unresolved Mention"/>
    <w:basedOn w:val="a0"/>
    <w:uiPriority w:val="99"/>
    <w:semiHidden/>
    <w:unhideWhenUsed/>
    <w:rsid w:val="00762D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elogornovskoe-r64.gosweb.gosuslugi.ru/"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11A0-2D92-4D68-8CAC-FD6880B4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2036</Words>
  <Characters>11609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24</cp:revision>
  <cp:lastPrinted>2019-12-20T11:58:00Z</cp:lastPrinted>
  <dcterms:created xsi:type="dcterms:W3CDTF">2025-06-17T06:43:00Z</dcterms:created>
  <dcterms:modified xsi:type="dcterms:W3CDTF">2025-06-27T11:12:00Z</dcterms:modified>
</cp:coreProperties>
</file>